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Rules Writing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Classroom Rules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5130"/>
        <w:tblGridChange w:id="0">
          <w:tblGrid>
            <w:gridCol w:w="5130"/>
            <w:gridCol w:w="51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Problem Behavior in Your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Replacement Behaviors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(What you want Students to do instead?)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-810" w:firstLine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810" w:firstLine="0"/>
        <w:contextualSpacing w:val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00000000002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4181"/>
        <w:gridCol w:w="611"/>
        <w:gridCol w:w="954"/>
        <w:gridCol w:w="697"/>
        <w:gridCol w:w="783"/>
        <w:gridCol w:w="714"/>
        <w:tblGridChange w:id="0">
          <w:tblGrid>
            <w:gridCol w:w="2338"/>
            <w:gridCol w:w="4181"/>
            <w:gridCol w:w="611"/>
            <w:gridCol w:w="954"/>
            <w:gridCol w:w="697"/>
            <w:gridCol w:w="783"/>
            <w:gridCol w:w="714"/>
          </w:tblGrid>
        </w:tblGridChange>
      </w:tblGrid>
      <w:tr>
        <w:trPr>
          <w:trHeight w:val="160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Schoolwide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Classroom Rules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(From the Replacement Behaviors above)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Observable?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Measureable?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Positive?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Understandable?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ind w:left="113" w:right="113" w:firstLine="0"/>
              <w:contextualSpacing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Applicable?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7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9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9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/>
      <w:pgMar w:bottom="547" w:top="446" w:left="1440" w:right="108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MU Center for PBS &amp; MO SW PBS  Classroom Practice Mini-Module:  Expectations &amp; Rules Handout 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